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4-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למדתי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ייידמיינו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מתנדבים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  <w:shd w:fill="93c47d" w:val="clear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ואתה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, 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  <w:shd w:fill="ff9900" w:val="clear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ff9900" w:val="clear"/>
          <w:rtl w:val="1"/>
        </w:rPr>
        <w:t xml:space="preserve">,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  <w:shd w:fill="93c47d" w:val="clear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ואתה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shd w:fill="93c47d" w:val="clear"/>
          <w:rtl w:val="1"/>
        </w:rPr>
        <w:t xml:space="preserve">,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בכתום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הנותרים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מאיתנו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מאיתנו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המיומנות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יוזמה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נדאג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וייחודית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שמתאימה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תחושת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מסוגלת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ולדחוף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