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בישול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יחוו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חוויתית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בבישול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לפשטידה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וגדול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</w:t>
      </w:r>
    </w:p>
    <w:p w:rsidR="00000000" w:rsidDel="00000000" w:rsidP="00000000" w:rsidRDefault="00000000" w:rsidRPr="00000000" w14:paraId="0000000F">
      <w:pPr>
        <w:rPr>
          <w:rFonts w:ascii="Assistant" w:cs="Assistant" w:eastAsia="Assistant" w:hAnsi="Assistant"/>
          <w:sz w:val="24"/>
          <w:szCs w:val="24"/>
        </w:rPr>
      </w:pP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u w:val="single"/>
            <w:rtl w:val="0"/>
          </w:rPr>
          <w:t xml:space="preserve">https://youtu.be/E9bqxnBij88?si=Fubbul3zr0VRNtqE</w:t>
        </w:r>
      </w:hyperlink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בישלתם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פשטידה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פשטידות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כנשנוש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ושמירה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פשוטה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מכניסים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לקערה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גדולה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מערבבים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שופכים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למאפיה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ומכניסים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לתנור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לטעות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רכיבים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)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ביצים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גביע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יוגורט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(200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גבינת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מוצרלה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מגורדת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כוס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פרוסות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זיתים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ירוקים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מקופסת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שימורים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2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כפות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קמח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תפו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כפית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מלח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קמצוץ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פלפל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שחור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ההכנה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מחממים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תנור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-180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מעלות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מערבבים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בקערה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החומרים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הרשום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לתערובת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אחידה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משמנים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מאפינס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ויוצקים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לתוכם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הבלילה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3/4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גובה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color w:val="393939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מכניסים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לתנור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ואופים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 40-45 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color w:val="393939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בבישול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E9bqxnBij88?si=Fubbul3zr0VRNtq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