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המוסתר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הכיוונים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בכיסוי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מכחולים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יתנדב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בניחוש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שניחשו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הניחושים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נפרוס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בטחון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