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חברויות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(45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פעולת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סטטוס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"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משתייכיםות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המעגלים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הרעיון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0"/>
          <w:szCs w:val="20"/>
          <w:rtl w:val="1"/>
        </w:rPr>
        <w:t xml:space="preserve">מעגלי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השייכות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יתחרו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שאף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יפגע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להדגיש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שכמות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מעידה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בוודאות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מתכתבת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שחולקים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ומתקופות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מרכיבי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חברות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b w:val="1"/>
          <w:sz w:val="16"/>
          <w:szCs w:val="16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אכפתיות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חוש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הומור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יופי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נדיבות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חסכנות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מגניבות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מקובל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עוקבים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בטיקטוק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חוכמה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חריצות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רגישות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סובלנות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רוגע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עצבנות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שקט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ביישנות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משפחה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תחומי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משותפים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שמחת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נחמדות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חוש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טעם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בלימודים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b w:val="1"/>
          <w:sz w:val="68"/>
          <w:szCs w:val="68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  <w:bidi w:val="1"/>
        </w:sectPr>
      </w:pP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68"/>
          <w:szCs w:val="68"/>
          <w:rtl w:val="1"/>
        </w:rPr>
        <w:t xml:space="preserve">כסף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bidi w:val="1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-342899</wp:posOffset>
          </wp:positionV>
          <wp:extent cx="1014413" cy="57524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5752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