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שעושים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הפרט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היחיד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ייתחבר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יציגו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חוויתי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יראה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כקבוצת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השווים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תזכורת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הפתקים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שכתבו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ונזכיר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התחלנו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לעסוק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שעושים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מאיתנו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שבשביל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לדעת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משמח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ובכך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להשתפר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ולהפוך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מכבדת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נעימה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המושג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ההגדרה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מרצונם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החופשי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להתארגן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בחברה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ולקבל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פיקוח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ומגבלות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אמנם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מאבד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מחירותו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הטבעית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לביטחון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יותר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ולדאגה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לצרכיו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ולזכויותיו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פשוטות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מיוחדת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המתאימה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ומבוססת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ביצירת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האמנה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החברתית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ירגישו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ורצוי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להשקיע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מבחינה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ציורים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קישוטים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טביעות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אצבעות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חתימות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מחברי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וכדומה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האמנה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החברתית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שיצרנו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נתלה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ותמיד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הנכונה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