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קבוצתיים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המועבר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דוורים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אינטימי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הפרויקטחקראת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והפרידה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שמתקרבת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..,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להתרחש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מיוחד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מיוחד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מיוחד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ממולץ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שקטה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ואינטמית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?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01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כרצונם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למשתתף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נפגעתי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אשכח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..."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.."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קבוצתיים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הכתובות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מותאמות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ולפרוקיט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והמלצות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מוטבציה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ורצון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הפרוקיט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להתכונן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לבלתמים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הפרוקיט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המדירכ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החגיגה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?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ועירוב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