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12"/>
          <w:szCs w:val="12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ראשון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(40-60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שייכות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לחניכיםות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התעניינות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ורתימת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לצעדים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חפש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המטמון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(15-20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קנגרו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צפרדע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חשיפת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ab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זוכרים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שהגעתם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'?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שהגעתם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2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וקובעים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מסודרים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במקביל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המרווח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המרחק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משתתף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בקפיצה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משולשת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בדילוגים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רשאי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המשתתף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להניח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מרגליו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מצליח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השלישי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שדורך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ברווח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נפסל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ויוצא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הקפיצה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הקופץ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המרחיק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מזיזים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האחרון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ומתקנים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מיקומו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האמצעי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שהמרחק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ישאר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מסכמים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(5-10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'):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שיחקנו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התחלנו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בהתחלה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ניסינו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כשהבנו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תרגלנו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יכולנו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להרשות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לעצמנו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לקפוץ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26">
      <w:pPr>
        <w:bidi w:val="1"/>
        <w:ind w:left="720" w:firstLine="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צמד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בשפה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מכיר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לאדם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לאנושות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"?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מאיפה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המשפט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9">
      <w:pPr>
        <w:bidi w:val="1"/>
        <w:ind w:left="720" w:firstLine="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אמסטרונג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אסטרונאוט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אמריקאי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כשהגיע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לירח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התכוון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הירח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הצעדים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משמעותיים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הביטוי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מבטא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הליכה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שהצלחנו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לירח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בביטוי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בעצמכם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עבורכם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שעשיתם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מקלות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-666749</wp:posOffset>
          </wp:positionH>
          <wp:positionV relativeFrom="paragraph">
            <wp:posOffset>-304799</wp:posOffset>
          </wp:positionV>
          <wp:extent cx="949018" cy="5381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018" cy="538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