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מההורים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נדפיס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כשנגלה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ונשמיע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ברמקול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(: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מהעיר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שידעו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האהוב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ומיוחדת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